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6F90" w14:textId="570FEDE7" w:rsidR="00003797" w:rsidRPr="00AF4699" w:rsidRDefault="00591239">
      <w:pPr>
        <w:rPr>
          <w:lang w:val="it-IT"/>
        </w:rPr>
      </w:pPr>
      <w:r>
        <w:rPr>
          <w:lang w:val="it-IT"/>
        </w:rPr>
        <w:t>Studi di meccanismo e  di ottimizzazione di reazioni catalizzate da palladio</w:t>
      </w:r>
    </w:p>
    <w:sectPr w:rsidR="00003797" w:rsidRPr="00AF4699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9"/>
    <w:rsid w:val="00003797"/>
    <w:rsid w:val="00591239"/>
    <w:rsid w:val="00AF4699"/>
    <w:rsid w:val="00D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752E"/>
  <w15:chartTrackingRefBased/>
  <w15:docId w15:val="{BCA283DE-61A9-4A5C-9804-1CD52BA6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Cabri</dc:creator>
  <cp:keywords/>
  <dc:description/>
  <cp:lastModifiedBy>Walter Cabri</cp:lastModifiedBy>
  <cp:revision>2</cp:revision>
  <dcterms:created xsi:type="dcterms:W3CDTF">2026-02-25T12:50:00Z</dcterms:created>
  <dcterms:modified xsi:type="dcterms:W3CDTF">2026-02-25T12:50:00Z</dcterms:modified>
</cp:coreProperties>
</file>